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BC5" w:rsidRDefault="007C7792" w:rsidP="007C7792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bookmarkStart w:id="0" w:name="_GoBack"/>
      <w:bookmarkEnd w:id="0"/>
      <w:r w:rsidRPr="007C779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Ч</w:t>
      </w:r>
      <w:r w:rsidR="00FD2BC5" w:rsidRPr="007C779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то должны знать работники по вопросам коррупции</w:t>
      </w:r>
    </w:p>
    <w:p w:rsidR="007C7792" w:rsidRPr="007C7792" w:rsidRDefault="007C7792" w:rsidP="00FD2BC5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tbl>
      <w:tblPr>
        <w:tblStyle w:val="a6"/>
        <w:tblW w:w="9983" w:type="dxa"/>
        <w:tblLook w:val="04A0" w:firstRow="1" w:lastRow="0" w:firstColumn="1" w:lastColumn="0" w:noHBand="0" w:noVBand="1"/>
      </w:tblPr>
      <w:tblGrid>
        <w:gridCol w:w="2674"/>
        <w:gridCol w:w="7309"/>
      </w:tblGrid>
      <w:tr w:rsidR="00FD2BC5" w:rsidRPr="007C7792" w:rsidTr="007C7792">
        <w:trPr>
          <w:trHeight w:val="233"/>
        </w:trPr>
        <w:tc>
          <w:tcPr>
            <w:tcW w:w="2612" w:type="dxa"/>
            <w:hideMark/>
          </w:tcPr>
          <w:p w:rsidR="00FD2BC5" w:rsidRPr="007C7792" w:rsidRDefault="00FD2BC5" w:rsidP="007C779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C779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Тема</w:t>
            </w:r>
          </w:p>
        </w:tc>
        <w:tc>
          <w:tcPr>
            <w:tcW w:w="7371" w:type="dxa"/>
            <w:hideMark/>
          </w:tcPr>
          <w:p w:rsidR="00FD2BC5" w:rsidRPr="007C7792" w:rsidRDefault="00FD2BC5" w:rsidP="007C779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C779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Содержание</w:t>
            </w:r>
          </w:p>
        </w:tc>
      </w:tr>
      <w:tr w:rsidR="00FD2BC5" w:rsidRPr="007C7792" w:rsidTr="007C7792">
        <w:tc>
          <w:tcPr>
            <w:tcW w:w="2612" w:type="dxa"/>
            <w:hideMark/>
          </w:tcPr>
          <w:p w:rsidR="00FD2BC5" w:rsidRPr="007C7792" w:rsidRDefault="00FD2BC5" w:rsidP="007C779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C77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Акты с антикоррупционными требованиями</w:t>
            </w:r>
          </w:p>
        </w:tc>
        <w:tc>
          <w:tcPr>
            <w:tcW w:w="7371" w:type="dxa"/>
            <w:hideMark/>
          </w:tcPr>
          <w:p w:rsidR="00FD2BC5" w:rsidRPr="007C7792" w:rsidRDefault="00FD2BC5" w:rsidP="007C779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C77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Расскажите о законодательстве и локальных актах, которые устанавливают антикоррупционные требования. Дополните методическими материалами – памятками, презентациями, пособиями, комиксами и т.п.</w:t>
            </w:r>
          </w:p>
        </w:tc>
      </w:tr>
      <w:tr w:rsidR="00FD2BC5" w:rsidRPr="007C7792" w:rsidTr="007C7792">
        <w:tc>
          <w:tcPr>
            <w:tcW w:w="2612" w:type="dxa"/>
            <w:hideMark/>
          </w:tcPr>
          <w:p w:rsidR="00FD2BC5" w:rsidRPr="007C7792" w:rsidRDefault="00FD2BC5" w:rsidP="007C779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C77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Получение и дарение подарков, незаконное вознаграждение</w:t>
            </w:r>
          </w:p>
        </w:tc>
        <w:tc>
          <w:tcPr>
            <w:tcW w:w="7371" w:type="dxa"/>
            <w:hideMark/>
          </w:tcPr>
          <w:p w:rsidR="00FD2BC5" w:rsidRPr="007C7792" w:rsidRDefault="00FD2BC5" w:rsidP="007C7792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C77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Закон запрещает делать подарки, стоимость которых превышает </w:t>
            </w:r>
            <w:r w:rsidRPr="007C779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3 </w:t>
            </w:r>
            <w:proofErr w:type="spellStart"/>
            <w:proofErr w:type="gramStart"/>
            <w:r w:rsidRPr="007C779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тыс</w:t>
            </w:r>
            <w:proofErr w:type="spellEnd"/>
            <w:proofErr w:type="gramEnd"/>
            <w:r w:rsidRPr="007C779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руб</w:t>
            </w:r>
            <w:r w:rsidRPr="007C77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работникам образовательных организаций </w:t>
            </w:r>
            <w:r w:rsidRPr="007C779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гражданами, находящимися в этих организациях на воспитании, супругами и родственниками граждан.</w:t>
            </w:r>
          </w:p>
          <w:p w:rsidR="00FD2BC5" w:rsidRPr="007C7792" w:rsidRDefault="00FD2BC5" w:rsidP="007C779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C77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Такие подарки запрещено дарить также всем государственным и муниципальным служащим (</w:t>
            </w:r>
            <w:hyperlink r:id="rId5" w:history="1">
              <w:r w:rsidRPr="007C7792">
                <w:rPr>
                  <w:rFonts w:ascii="Times New Roman" w:eastAsia="Times New Roman" w:hAnsi="Times New Roman" w:cs="Times New Roman"/>
                  <w:color w:val="0047B3"/>
                  <w:sz w:val="26"/>
                  <w:szCs w:val="26"/>
                  <w:lang w:eastAsia="ru-RU"/>
                </w:rPr>
                <w:t>ст. 575 ГК</w:t>
              </w:r>
            </w:hyperlink>
            <w:r w:rsidRPr="007C77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</w:tr>
      <w:tr w:rsidR="00FD2BC5" w:rsidRPr="007C7792" w:rsidTr="007C7792">
        <w:tc>
          <w:tcPr>
            <w:tcW w:w="2612" w:type="dxa"/>
            <w:hideMark/>
          </w:tcPr>
          <w:p w:rsidR="00FD2BC5" w:rsidRPr="007C7792" w:rsidRDefault="00FD2BC5" w:rsidP="007C779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C77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Иная оплачиваемая деятельность</w:t>
            </w:r>
          </w:p>
        </w:tc>
        <w:tc>
          <w:tcPr>
            <w:tcW w:w="7371" w:type="dxa"/>
            <w:hideMark/>
          </w:tcPr>
          <w:p w:rsidR="00FD2BC5" w:rsidRPr="007C7792" w:rsidRDefault="00FD2BC5" w:rsidP="007C779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C77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Педагог не вправе оказывать платные образовательные услуги </w:t>
            </w:r>
            <w:proofErr w:type="gramStart"/>
            <w:r w:rsidRPr="007C77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обучающимся</w:t>
            </w:r>
            <w:proofErr w:type="gramEnd"/>
            <w:r w:rsidRPr="007C77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организации, в которой он работает. Это может привести к конфликту интересов (</w:t>
            </w:r>
            <w:hyperlink r:id="rId6" w:history="1">
              <w:r w:rsidRPr="007C7792">
                <w:rPr>
                  <w:rFonts w:ascii="Times New Roman" w:eastAsia="Times New Roman" w:hAnsi="Times New Roman" w:cs="Times New Roman"/>
                  <w:color w:val="0047B3"/>
                  <w:sz w:val="26"/>
                  <w:szCs w:val="26"/>
                  <w:lang w:eastAsia="ru-RU"/>
                </w:rPr>
                <w:t>ч. 2 ст. 48 Федерального закона от 29.12.2012 № 273-ФЗ</w:t>
              </w:r>
            </w:hyperlink>
            <w:r w:rsidRPr="007C77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). То есть нельзя объяснять тему на уроке, а затем рассказывать ее на платной консультации тем же лицам.</w:t>
            </w:r>
          </w:p>
          <w:p w:rsidR="00FD2BC5" w:rsidRPr="007C7792" w:rsidRDefault="00FD2BC5" w:rsidP="007C779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C77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Вся остальная платная деятельность доступна всем работникам школы и детского сада. Ограничения действуют только для директора и заведующего. Они вправе работать по совместительству у другого работодателя только с разрешения собственника имущества организации или его уполномоченного лица. Иные ограничения учредитель может указать в трудовом договоре с руководителем</w:t>
            </w:r>
          </w:p>
        </w:tc>
      </w:tr>
      <w:tr w:rsidR="00FD2BC5" w:rsidRPr="007C7792" w:rsidTr="007C7792">
        <w:tc>
          <w:tcPr>
            <w:tcW w:w="2612" w:type="dxa"/>
            <w:hideMark/>
          </w:tcPr>
          <w:p w:rsidR="00FD2BC5" w:rsidRPr="007C7792" w:rsidRDefault="00FD2BC5" w:rsidP="007C7792">
            <w:pPr>
              <w:ind w:right="9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C77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Использование информации ограниченного доступа</w:t>
            </w:r>
          </w:p>
        </w:tc>
        <w:tc>
          <w:tcPr>
            <w:tcW w:w="7371" w:type="dxa"/>
            <w:hideMark/>
          </w:tcPr>
          <w:p w:rsidR="00FD2BC5" w:rsidRPr="007C7792" w:rsidRDefault="00FD2BC5" w:rsidP="007C779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C77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Нельзя распространять сведения о </w:t>
            </w:r>
            <w:proofErr w:type="spellStart"/>
            <w:r w:rsidRPr="007C77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персданных</w:t>
            </w:r>
            <w:proofErr w:type="spellEnd"/>
            <w:r w:rsidRPr="007C77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которые стали известны работникам во время исполнения своих обязанностей. За это может грозить </w:t>
            </w:r>
            <w:hyperlink r:id="rId7" w:history="1">
              <w:r w:rsidRPr="007C7792">
                <w:rPr>
                  <w:rFonts w:ascii="Times New Roman" w:eastAsia="Times New Roman" w:hAnsi="Times New Roman" w:cs="Times New Roman"/>
                  <w:color w:val="0047B3"/>
                  <w:sz w:val="26"/>
                  <w:szCs w:val="26"/>
                  <w:lang w:eastAsia="ru-RU"/>
                </w:rPr>
                <w:t>разная по тяжести ответственность</w:t>
              </w:r>
            </w:hyperlink>
            <w:r w:rsidRPr="007C77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  <w:p w:rsidR="00FD2BC5" w:rsidRPr="007C7792" w:rsidRDefault="00FD2BC5" w:rsidP="007C779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C77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Школа и детский сад также вправе установить в локальных актах запрет на разглашение иных служебных сведений – например, размеров зарплат по разным должностям, паролей служебных учетных записей и т.д.</w:t>
            </w:r>
          </w:p>
        </w:tc>
      </w:tr>
      <w:tr w:rsidR="00FD2BC5" w:rsidRPr="007C7792" w:rsidTr="007C7792">
        <w:tc>
          <w:tcPr>
            <w:tcW w:w="2612" w:type="dxa"/>
            <w:hideMark/>
          </w:tcPr>
          <w:p w:rsidR="00FD2BC5" w:rsidRPr="007C7792" w:rsidRDefault="00FD2BC5" w:rsidP="007C779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C77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Проверка контрагентов</w:t>
            </w:r>
          </w:p>
        </w:tc>
        <w:tc>
          <w:tcPr>
            <w:tcW w:w="7371" w:type="dxa"/>
            <w:hideMark/>
          </w:tcPr>
          <w:p w:rsidR="00FD2BC5" w:rsidRPr="007C7792" w:rsidRDefault="00FD2BC5" w:rsidP="007C779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C77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Поскольку законодательство о контрактной системе очень жестко регламентирует процедуру торгов, то у заказчика остается немного инструментов, чтобы ограничить себя от коррупционных контрагентов. Нужно проверить участника закупки по реестру недобросовестных поставщиков и выявить заинтересованность его работников в сделке, в том числе родственные связи с сотрудниками заказчика</w:t>
            </w:r>
          </w:p>
        </w:tc>
      </w:tr>
      <w:tr w:rsidR="00FD2BC5" w:rsidRPr="007C7792" w:rsidTr="007C7792">
        <w:tc>
          <w:tcPr>
            <w:tcW w:w="2612" w:type="dxa"/>
            <w:hideMark/>
          </w:tcPr>
          <w:p w:rsidR="00FD2BC5" w:rsidRPr="007C7792" w:rsidRDefault="00FD2BC5" w:rsidP="007C779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C77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Контрольная встреча</w:t>
            </w:r>
          </w:p>
        </w:tc>
        <w:tc>
          <w:tcPr>
            <w:tcW w:w="7371" w:type="dxa"/>
            <w:hideMark/>
          </w:tcPr>
          <w:p w:rsidR="00FD2BC5" w:rsidRPr="007C7792" w:rsidRDefault="00FD2BC5" w:rsidP="007C779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C77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Ответственный должен проверить, как работники усвоили информацию об антикоррупционных требованиях. Можно организовать тестирование, опрос, кейсы. Следует проверять не только знания антикоррупционных актов, но и понимание работниками правильной линии поведения в типовых </w:t>
            </w:r>
            <w:proofErr w:type="spellStart"/>
            <w:r w:rsidRPr="007C77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коррупционно</w:t>
            </w:r>
            <w:proofErr w:type="spellEnd"/>
            <w:r w:rsidRPr="007C77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опасных ситуациях</w:t>
            </w:r>
          </w:p>
        </w:tc>
      </w:tr>
    </w:tbl>
    <w:p w:rsidR="00FD2BC5" w:rsidRPr="00FD2BC5" w:rsidRDefault="00FD2BC5" w:rsidP="007C7792">
      <w:pPr>
        <w:tabs>
          <w:tab w:val="left" w:pos="2835"/>
        </w:tabs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D2BC5">
        <w:rPr>
          <w:rFonts w:ascii="Arial" w:eastAsia="Times New Roman" w:hAnsi="Arial" w:cs="Arial"/>
          <w:color w:val="222222"/>
          <w:sz w:val="21"/>
          <w:szCs w:val="21"/>
          <w:lang w:eastAsia="ru-RU"/>
        </w:rPr>
        <w:lastRenderedPageBreak/>
        <w:br/>
      </w:r>
      <w:r w:rsidRPr="00FD2BC5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</w:r>
    </w:p>
    <w:p w:rsidR="00FD2BC5" w:rsidRDefault="00FD2BC5"/>
    <w:p w:rsidR="00FD2BC5" w:rsidRPr="00FD2BC5" w:rsidRDefault="00FD2BC5" w:rsidP="00FD2BC5">
      <w:pPr>
        <w:spacing w:before="375" w:after="150" w:line="240" w:lineRule="auto"/>
        <w:outlineLvl w:val="2"/>
        <w:rPr>
          <w:rFonts w:ascii="Arial" w:eastAsia="Times New Roman" w:hAnsi="Arial" w:cs="Arial"/>
          <w:b/>
          <w:bCs/>
          <w:color w:val="222222"/>
          <w:sz w:val="27"/>
          <w:szCs w:val="27"/>
          <w:lang w:eastAsia="ru-RU"/>
        </w:rPr>
      </w:pPr>
      <w:r w:rsidRPr="00FD2BC5">
        <w:rPr>
          <w:rFonts w:ascii="Arial" w:eastAsia="Times New Roman" w:hAnsi="Arial" w:cs="Arial"/>
          <w:b/>
          <w:bCs/>
          <w:color w:val="222222"/>
          <w:sz w:val="27"/>
          <w:szCs w:val="27"/>
          <w:lang w:eastAsia="ru-RU"/>
        </w:rPr>
        <w:t>Какие документы устанавливают антикоррупционные требования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1"/>
        <w:gridCol w:w="1646"/>
        <w:gridCol w:w="6188"/>
      </w:tblGrid>
      <w:tr w:rsidR="00FD2BC5" w:rsidRPr="00FD2BC5" w:rsidTr="00FD2BC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D2BC5" w:rsidRPr="00FD2BC5" w:rsidRDefault="00FD2BC5" w:rsidP="00FD2BC5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2B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Уровень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D2BC5" w:rsidRPr="00FD2BC5" w:rsidRDefault="00FD2BC5" w:rsidP="00FD2BC5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2B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Тип документов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D2BC5" w:rsidRPr="00FD2BC5" w:rsidRDefault="00FD2BC5" w:rsidP="00FD2BC5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2B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Наименование</w:t>
            </w:r>
          </w:p>
        </w:tc>
      </w:tr>
      <w:tr w:rsidR="00FD2BC5" w:rsidRPr="00FD2BC5" w:rsidTr="00FD2BC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D2BC5" w:rsidRPr="00FD2BC5" w:rsidRDefault="00FD2BC5" w:rsidP="00FD2BC5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2B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Федеральные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D2BC5" w:rsidRPr="00FD2BC5" w:rsidRDefault="00FD2BC5" w:rsidP="00FD2BC5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2B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Нормативные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D2BC5" w:rsidRPr="00FD2BC5" w:rsidRDefault="007C7792" w:rsidP="00FD2BC5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8" w:history="1">
              <w:r w:rsidR="00FD2BC5" w:rsidRPr="00FD2BC5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Федеральный закон от 25.12.2008 № 273-ФЗ</w:t>
              </w:r>
            </w:hyperlink>
            <w:r w:rsidR="00FD2BC5" w:rsidRPr="00FD2B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«О противодействии коррупции».</w:t>
            </w:r>
          </w:p>
          <w:p w:rsidR="00FD2BC5" w:rsidRPr="00FD2BC5" w:rsidRDefault="007C7792" w:rsidP="00FD2BC5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9" w:history="1">
              <w:r w:rsidR="00FD2BC5" w:rsidRPr="00FD2BC5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Федеральный закон от 03.12.2012 № 230-ФЗ</w:t>
              </w:r>
            </w:hyperlink>
            <w:r w:rsidR="00FD2BC5" w:rsidRPr="00FD2B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 «О </w:t>
            </w:r>
            <w:proofErr w:type="gramStart"/>
            <w:r w:rsidR="00FD2BC5" w:rsidRPr="00FD2B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контроле за</w:t>
            </w:r>
            <w:proofErr w:type="gramEnd"/>
            <w:r w:rsidR="00FD2BC5" w:rsidRPr="00FD2B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соответствием расходов лиц, замещающих государственные должности, и иных лиц их доходам».</w:t>
            </w:r>
          </w:p>
          <w:p w:rsidR="00FD2BC5" w:rsidRPr="00FD2BC5" w:rsidRDefault="007C7792" w:rsidP="00FD2BC5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0" w:history="1">
              <w:r w:rsidR="00FD2BC5" w:rsidRPr="00FD2BC5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Федеральный закон от 09.02.2009 № 8-ФЗ</w:t>
              </w:r>
            </w:hyperlink>
            <w:r w:rsidR="00FD2BC5" w:rsidRPr="00FD2B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«Об обеспечении доступа к информации о деятельности государственных органов и органов местного самоуправления».</w:t>
            </w:r>
          </w:p>
          <w:p w:rsidR="00FD2BC5" w:rsidRPr="00FD2BC5" w:rsidRDefault="007C7792" w:rsidP="00FD2BC5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1" w:history="1">
              <w:r w:rsidR="00FD2BC5" w:rsidRPr="00FD2BC5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Федеральный закон от 17.07.2009 № 172-ФЗ</w:t>
              </w:r>
            </w:hyperlink>
            <w:r w:rsidR="00FD2BC5" w:rsidRPr="00FD2B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«Об антикоррупционной экспертизе нормативных правовых актов и проектов нормативных правовых актов».</w:t>
            </w:r>
          </w:p>
          <w:p w:rsidR="00FD2BC5" w:rsidRPr="00FD2BC5" w:rsidRDefault="007C7792" w:rsidP="00FD2BC5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2" w:history="1">
              <w:r w:rsidR="00FD2BC5" w:rsidRPr="00FD2BC5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Указ Президента от 19.05.2008 № 815</w:t>
              </w:r>
            </w:hyperlink>
          </w:p>
        </w:tc>
      </w:tr>
      <w:tr w:rsidR="00FD2BC5" w:rsidRPr="00FD2BC5" w:rsidTr="00FD2BC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BC5" w:rsidRPr="00FD2BC5" w:rsidRDefault="00FD2BC5" w:rsidP="00FD2B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D2BC5" w:rsidRPr="00FD2BC5" w:rsidRDefault="00FD2BC5" w:rsidP="00FD2BC5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2B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Ненормативные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D2BC5" w:rsidRPr="00FD2BC5" w:rsidRDefault="007C7792" w:rsidP="00FD2BC5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3" w:history="1">
              <w:r w:rsidR="00FD2BC5" w:rsidRPr="00FD2BC5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Меры по предупреждению коррупции в организациях</w:t>
              </w:r>
            </w:hyperlink>
            <w:r w:rsidR="00FD2BC5" w:rsidRPr="00FD2B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опубликованные на сайте Минтруда 19.09.2019.</w:t>
            </w:r>
          </w:p>
          <w:p w:rsidR="00FD2BC5" w:rsidRPr="00FD2BC5" w:rsidRDefault="007C7792" w:rsidP="00FD2BC5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4" w:history="1">
              <w:r w:rsidR="00FD2BC5" w:rsidRPr="00FD2BC5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Письмо Минтруда от 30.09.2020 № 18-2/10/П-9716</w:t>
              </w:r>
            </w:hyperlink>
            <w:r w:rsidR="00FD2BC5" w:rsidRPr="00FD2B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«О Методических рекомендациях по выявлению и минимизации коррупционных рисков при осуществлении закупок товаров, работ, услуг для обеспечения государственных или муниципальных нужд».</w:t>
            </w:r>
          </w:p>
          <w:p w:rsidR="00FD2BC5" w:rsidRPr="00FD2BC5" w:rsidRDefault="007C7792" w:rsidP="00FD2BC5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5" w:history="1">
              <w:r w:rsidR="00FD2BC5" w:rsidRPr="00FD2BC5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Рекомендации по порядку проведения оценки коррупционных рисков в организации</w:t>
              </w:r>
            </w:hyperlink>
            <w:r w:rsidR="00FD2BC5" w:rsidRPr="00FD2B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опубликованные на сайте Минтруда 19.09.2019.</w:t>
            </w:r>
          </w:p>
          <w:p w:rsidR="00FD2BC5" w:rsidRPr="00FD2BC5" w:rsidRDefault="007C7792" w:rsidP="00FD2BC5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6" w:history="1">
              <w:r w:rsidR="00FD2BC5" w:rsidRPr="00FD2BC5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Письмо Минтруда от 26.07.2018 № 18-0/10/П-5146</w:t>
              </w:r>
            </w:hyperlink>
            <w:r w:rsidR="00FD2BC5" w:rsidRPr="00FD2B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«О методических рекомендациях по вопросам привлечения к ответственности должностных лиц за непринятие мер по предотвращению и (или) урегулированию конфликта интересов»</w:t>
            </w:r>
          </w:p>
        </w:tc>
      </w:tr>
      <w:tr w:rsidR="00FD2BC5" w:rsidRPr="00FD2BC5" w:rsidTr="00FD2BC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D2BC5" w:rsidRPr="00FD2BC5" w:rsidRDefault="00FD2BC5" w:rsidP="00FD2BC5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2B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Региональные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D2BC5" w:rsidRPr="00FD2BC5" w:rsidRDefault="00FD2BC5" w:rsidP="00FD2BC5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2B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Нормативные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D2BC5" w:rsidRPr="00FD2BC5" w:rsidRDefault="007C7792" w:rsidP="00FD2BC5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7" w:history="1">
              <w:r w:rsidR="00FD2BC5" w:rsidRPr="00FD2BC5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Закон Костромской области от 10.03.2009 № 450-4-ЗКО</w:t>
              </w:r>
            </w:hyperlink>
            <w:r w:rsidR="00FD2BC5" w:rsidRPr="00FD2B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«О противодействии коррупции в Костромской области».</w:t>
            </w:r>
          </w:p>
          <w:p w:rsidR="00FD2BC5" w:rsidRPr="00FD2BC5" w:rsidRDefault="007C7792" w:rsidP="00FD2BC5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8" w:history="1">
              <w:proofErr w:type="gramStart"/>
              <w:r w:rsidR="00FD2BC5" w:rsidRPr="00FD2BC5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Постановление Губернатора Костромской области от 20.06.2017 № 135</w:t>
              </w:r>
            </w:hyperlink>
            <w:r w:rsidR="00FD2BC5" w:rsidRPr="00FD2B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«О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государственной гражданской службы Костромской области, муниципальной службы, государственными гражданскими служащими Костромской области, муниципальными служащими, и соблюдения государственными гражданскими служащими Костромской области, муниципальными служащими ограничений и запретов, требований о предотвращении или урегулировании конфликта интересов».</w:t>
            </w:r>
            <w:proofErr w:type="gramEnd"/>
          </w:p>
          <w:p w:rsidR="00FD2BC5" w:rsidRPr="00FD2BC5" w:rsidRDefault="007C7792" w:rsidP="00FD2BC5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9" w:history="1">
              <w:r w:rsidR="00FD2BC5" w:rsidRPr="00FD2BC5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Приказ департамента образования и науки Костромской области от 28.04.2017 № 1056</w:t>
              </w:r>
            </w:hyperlink>
            <w:r w:rsidR="00FD2BC5" w:rsidRPr="00FD2B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«О комиссии по соблюдению требований к служебному поведению руководителей государственных организаций, подведомственных департаменту образования и науки Костромской области, и урегулированию конфликта интересов.</w:t>
            </w:r>
          </w:p>
          <w:p w:rsidR="00FD2BC5" w:rsidRPr="00FD2BC5" w:rsidRDefault="00FD2BC5" w:rsidP="00FD2BC5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2B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Акты, утверждающие региональные перечни госслужащих, на которых распространяются ограничения – например, перечень для департамента образования и науки Костромской области опубликовали </w:t>
            </w:r>
            <w:hyperlink r:id="rId20" w:history="1">
              <w:r w:rsidRPr="00FD2BC5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на сайте департамента</w:t>
              </w:r>
            </w:hyperlink>
            <w:r w:rsidRPr="00FD2B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  <w:p w:rsidR="00FD2BC5" w:rsidRPr="00FD2BC5" w:rsidRDefault="00FD2BC5" w:rsidP="00FD2BC5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2B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Иные акты органов государственной власти субъектов России по вопросам противодействии коррупции</w:t>
            </w:r>
          </w:p>
        </w:tc>
      </w:tr>
      <w:tr w:rsidR="00FD2BC5" w:rsidRPr="00FD2BC5" w:rsidTr="00FD2BC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D2BC5" w:rsidRPr="00FD2BC5" w:rsidRDefault="00FD2BC5" w:rsidP="00FD2BC5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2B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Муниципальные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D2BC5" w:rsidRPr="00FD2BC5" w:rsidRDefault="00FD2BC5" w:rsidP="00FD2BC5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2B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Нормативные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D2BC5" w:rsidRPr="00FD2BC5" w:rsidRDefault="00FD2BC5" w:rsidP="00FD2BC5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2B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Программы (планы) в сфере противодействия коррупции.</w:t>
            </w:r>
          </w:p>
          <w:p w:rsidR="00FD2BC5" w:rsidRPr="00FD2BC5" w:rsidRDefault="00FD2BC5" w:rsidP="00FD2BC5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2B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Акты, утверждающие муниципальные перечни служащих, на которых распространяются ограничения.</w:t>
            </w:r>
          </w:p>
          <w:p w:rsidR="00FD2BC5" w:rsidRPr="00FD2BC5" w:rsidRDefault="00FD2BC5" w:rsidP="00FD2BC5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2B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Иные муниципальные правовые акты по вопросам </w:t>
            </w:r>
            <w:proofErr w:type="gramStart"/>
            <w:r w:rsidRPr="00FD2B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противодействии</w:t>
            </w:r>
            <w:proofErr w:type="gramEnd"/>
            <w:r w:rsidRPr="00FD2B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коррупции, например:</w:t>
            </w:r>
          </w:p>
          <w:p w:rsidR="00FD2BC5" w:rsidRPr="00FD2BC5" w:rsidRDefault="00FD2BC5" w:rsidP="00FD2BC5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2B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— постановление Администрации </w:t>
            </w:r>
            <w:proofErr w:type="spellStart"/>
            <w:r w:rsidRPr="00FD2B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Межевского</w:t>
            </w:r>
            <w:proofErr w:type="spellEnd"/>
            <w:r w:rsidRPr="00FD2B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муниципального округа Костромской области от 27.01.2022 № 12 «О комиссии по соблюдению требований к служебному поведению муниципальных служащих </w:t>
            </w:r>
            <w:proofErr w:type="spellStart"/>
            <w:r w:rsidRPr="00FD2B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Межевского</w:t>
            </w:r>
            <w:proofErr w:type="spellEnd"/>
            <w:r w:rsidRPr="00FD2B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муниципального округа Костромской области и урегулированию конфликта интересов, а также руководителей муниципальных учреждений»;</w:t>
            </w:r>
          </w:p>
          <w:p w:rsidR="00FD2BC5" w:rsidRPr="00FD2BC5" w:rsidRDefault="00FD2BC5" w:rsidP="00FD2BC5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2B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— </w:t>
            </w:r>
            <w:hyperlink r:id="rId21" w:history="1">
              <w:r w:rsidRPr="00FD2BC5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постановление Главы городского округа город Шарья Костромской области от 10.02.2016 № 14</w:t>
              </w:r>
            </w:hyperlink>
            <w:r w:rsidRPr="00FD2B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«О комиссии по соблюдению требований к служебному поведению муниципальных служащих городского округа город Шарья, руководителей муниципальных учреждений городского округа город Шарья и урегулированию конфликта интересов»</w:t>
            </w:r>
          </w:p>
        </w:tc>
      </w:tr>
    </w:tbl>
    <w:p w:rsidR="00FD2BC5" w:rsidRPr="00FD2BC5" w:rsidRDefault="00FD2BC5" w:rsidP="00FD2BC5">
      <w:pPr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D2BC5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</w:r>
      <w:r w:rsidRPr="00FD2BC5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  <w:t>«Как соблюсти антикоррупционные требования в школах и детских садах Костромской области».</w:t>
      </w:r>
      <w:r w:rsidRPr="00FD2BC5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  <w:t>© Материал из МЦФЭР «Образование».</w:t>
      </w:r>
      <w:r w:rsidRPr="00FD2BC5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  <w:t>Подробнее: </w:t>
      </w:r>
      <w:hyperlink r:id="rId22" w:anchor="/document/16/202900" w:history="1">
        <w:r w:rsidRPr="00FD2BC5">
          <w:rPr>
            <w:rFonts w:ascii="Arial" w:eastAsia="Times New Roman" w:hAnsi="Arial" w:cs="Arial"/>
            <w:color w:val="0047B3"/>
            <w:sz w:val="21"/>
            <w:szCs w:val="21"/>
            <w:lang w:eastAsia="ru-RU"/>
          </w:rPr>
          <w:t>https://1obraz.ru/#/document/16/202900</w:t>
        </w:r>
      </w:hyperlink>
    </w:p>
    <w:p w:rsidR="00804D31" w:rsidRPr="00FD2BC5" w:rsidRDefault="00804D31" w:rsidP="00FD2BC5"/>
    <w:sectPr w:rsidR="00804D31" w:rsidRPr="00FD2BC5" w:rsidSect="007C7792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BC5"/>
    <w:rsid w:val="007C7792"/>
    <w:rsid w:val="00804D31"/>
    <w:rsid w:val="00FD2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D2B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D2BC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FD2B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D2BC5"/>
    <w:rPr>
      <w:b/>
      <w:bCs/>
    </w:rPr>
  </w:style>
  <w:style w:type="character" w:styleId="a5">
    <w:name w:val="Hyperlink"/>
    <w:basedOn w:val="a0"/>
    <w:uiPriority w:val="99"/>
    <w:semiHidden/>
    <w:unhideWhenUsed/>
    <w:rsid w:val="00FD2BC5"/>
    <w:rPr>
      <w:color w:val="0000FF"/>
      <w:u w:val="single"/>
    </w:rPr>
  </w:style>
  <w:style w:type="table" w:styleId="a6">
    <w:name w:val="Table Grid"/>
    <w:basedOn w:val="a1"/>
    <w:uiPriority w:val="59"/>
    <w:rsid w:val="007C77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D2B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D2BC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FD2B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D2BC5"/>
    <w:rPr>
      <w:b/>
      <w:bCs/>
    </w:rPr>
  </w:style>
  <w:style w:type="character" w:styleId="a5">
    <w:name w:val="Hyperlink"/>
    <w:basedOn w:val="a0"/>
    <w:uiPriority w:val="99"/>
    <w:semiHidden/>
    <w:unhideWhenUsed/>
    <w:rsid w:val="00FD2BC5"/>
    <w:rPr>
      <w:color w:val="0000FF"/>
      <w:u w:val="single"/>
    </w:rPr>
  </w:style>
  <w:style w:type="table" w:styleId="a6">
    <w:name w:val="Table Grid"/>
    <w:basedOn w:val="a1"/>
    <w:uiPriority w:val="59"/>
    <w:rsid w:val="007C77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24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2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38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82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592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8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7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22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30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4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45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89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34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671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obraz.ru/group?groupId=190325&amp;locale=ru&amp;date=2025-12-09&amp;isStatic=false&amp;pubAlias=mcfr-edu.vip" TargetMode="External"/><Relationship Id="rId13" Type="http://schemas.openxmlformats.org/officeDocument/2006/relationships/hyperlink" Target="https://1obraz.ru/group?groupId=60059810&amp;locale=ru&amp;date=2025-12-09&amp;isStatic=false&amp;pubAlias=mcfr-edu.vip" TargetMode="External"/><Relationship Id="rId18" Type="http://schemas.openxmlformats.org/officeDocument/2006/relationships/hyperlink" Target="https://1obraz.ru/group?groupId=25920583&amp;locale=ru&amp;date=2025-12-09&amp;isStatic=false&amp;pubAlias=mcfr-edu.vip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1obraz.ru/group?groupId=38737776&amp;locale=ru&amp;date=2025-12-09&amp;isStatic=false&amp;pubAlias=mcfr-edu.vip" TargetMode="External"/><Relationship Id="rId7" Type="http://schemas.openxmlformats.org/officeDocument/2006/relationships/hyperlink" Target="https://1obraz.ru/group?groupId=13730111&amp;locale=ru&amp;date=2025-12-09&amp;isStatic=false&amp;pubAlias=mcfr-edu.vip" TargetMode="External"/><Relationship Id="rId12" Type="http://schemas.openxmlformats.org/officeDocument/2006/relationships/hyperlink" Target="https://1obraz.ru/group?groupId=364571&amp;locale=ru&amp;date=2025-12-09&amp;isStatic=false&amp;pubAlias=mcfr-edu.vip" TargetMode="External"/><Relationship Id="rId17" Type="http://schemas.openxmlformats.org/officeDocument/2006/relationships/hyperlink" Target="https://1obraz.ru/group?groupId=5883406&amp;locale=ru&amp;date=2025-12-09&amp;isStatic=false&amp;pubAlias=mcfr-edu.vip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1obraz.ru/group?groupId=44515725&amp;locale=ru&amp;date=2025-12-09&amp;isStatic=false&amp;pubAlias=mcfr-edu.vip" TargetMode="External"/><Relationship Id="rId20" Type="http://schemas.openxmlformats.org/officeDocument/2006/relationships/hyperlink" Target="https://don.kostroma.gov.ru/deyatelnost/protivodeystvie-korruptsii/metodicheskie-materialy.php" TargetMode="External"/><Relationship Id="rId1" Type="http://schemas.openxmlformats.org/officeDocument/2006/relationships/styles" Target="styles.xml"/><Relationship Id="rId6" Type="http://schemas.openxmlformats.org/officeDocument/2006/relationships/hyperlink" Target="https://1obraz.ru/group?groupId=1597671&amp;locale=ru&amp;date=2025-12-09&amp;isStatic=false&amp;anchor=XA00M582MS&amp;pubAlias=mcfr-edu.vip" TargetMode="External"/><Relationship Id="rId11" Type="http://schemas.openxmlformats.org/officeDocument/2006/relationships/hyperlink" Target="https://1obraz.ru/group?groupId=339739&amp;locale=ru&amp;date=2025-12-09&amp;isStatic=false&amp;pubAlias=mcfr-edu.vip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1obraz.ru/group?groupId=3&amp;locale=ru&amp;date=2025-12-09&amp;isStatic=false&amp;anchor=ZA00MOG2OM&amp;pubAlias=mcfr-edu.vip" TargetMode="External"/><Relationship Id="rId15" Type="http://schemas.openxmlformats.org/officeDocument/2006/relationships/hyperlink" Target="https://1obraz.ru/group?groupId=60059988&amp;locale=ru&amp;date=2025-12-09&amp;isStatic=false&amp;pubAlias=mcfr-edu.vip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1obraz.ru/group?groupId=233741&amp;locale=ru&amp;date=2025-12-09&amp;isStatic=false&amp;pubAlias=mcfr-edu.vip" TargetMode="External"/><Relationship Id="rId19" Type="http://schemas.openxmlformats.org/officeDocument/2006/relationships/hyperlink" Target="https://don.kostroma.gov.ru/deyatelnost/protivodeystvie-korruptsii/normativnye-pravovye-akty-i-inye-akty-v-sfere-protivodeystviya-korruptsii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1obraz.ru/group?groupId=1514356&amp;locale=ru&amp;date=2025-12-09&amp;isStatic=false&amp;pubAlias=mcfr-edu.vip" TargetMode="External"/><Relationship Id="rId14" Type="http://schemas.openxmlformats.org/officeDocument/2006/relationships/hyperlink" Target="https://1obraz.ru/group?groupId=74554902&amp;locale=ru&amp;date=2025-12-09&amp;isStatic=false&amp;pubAlias=mcfr-edu.vip" TargetMode="External"/><Relationship Id="rId22" Type="http://schemas.openxmlformats.org/officeDocument/2006/relationships/hyperlink" Target="https://1obr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1254</Words>
  <Characters>7152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Фатима Омаровна Дзагурова</dc:creator>
  <cp:lastModifiedBy>Фатима Омаровна Дзагурова</cp:lastModifiedBy>
  <cp:revision>2</cp:revision>
  <dcterms:created xsi:type="dcterms:W3CDTF">2025-12-20T07:01:00Z</dcterms:created>
  <dcterms:modified xsi:type="dcterms:W3CDTF">2025-12-20T07:01:00Z</dcterms:modified>
</cp:coreProperties>
</file>